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B4" w:rsidRPr="003150B4" w:rsidRDefault="003150B4" w:rsidP="003150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>.11.2013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Тезисы доклада В. Л. Станиславского</w:t>
      </w:r>
      <w:r w:rsidRPr="0031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первого заместителя </w:t>
      </w:r>
      <w:r w:rsidRPr="0031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генерального директора ОАО «Новая перевозочная компания» (входит в Группу </w:t>
      </w:r>
      <w:r w:rsidRPr="003150B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Globaltrans</w:t>
      </w:r>
      <w:r w:rsidRPr="0031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),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международной </w:t>
      </w: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>конференции «Металлургия и грузоперевозки</w:t>
      </w:r>
      <w:r w:rsidRPr="003150B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» </w:t>
      </w:r>
      <w:r w:rsidRPr="003150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тему:</w:t>
      </w:r>
    </w:p>
    <w:p w:rsidR="003150B4" w:rsidRPr="003150B4" w:rsidRDefault="003150B4" w:rsidP="003150B4">
      <w:pPr>
        <w:spacing w:after="0" w:line="240" w:lineRule="auto"/>
        <w:ind w:left="4860"/>
        <w:jc w:val="both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lang w:val="uk-UA" w:eastAsia="ru-RU"/>
        </w:rPr>
      </w:pPr>
      <w:r w:rsidRPr="003150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     </w:t>
      </w:r>
      <w:r w:rsidRPr="003150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</w:r>
      <w:r w:rsidRPr="003150B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ab/>
        <w:t xml:space="preserve">                            </w:t>
      </w:r>
    </w:p>
    <w:p w:rsidR="003150B4" w:rsidRPr="003150B4" w:rsidRDefault="003150B4" w:rsidP="003150B4">
      <w:pPr>
        <w:pStyle w:val="a5"/>
        <w:spacing w:before="0" w:beforeAutospacing="0" w:after="0" w:afterAutospacing="0"/>
        <w:textAlignment w:val="baseline"/>
      </w:pPr>
      <w:r w:rsidRPr="003150B4">
        <w:rPr>
          <w:rFonts w:eastAsiaTheme="minorEastAsia"/>
          <w:b/>
          <w:bCs/>
          <w:color w:val="000000" w:themeColor="text1"/>
          <w:kern w:val="24"/>
        </w:rPr>
        <w:t xml:space="preserve">Рынок железнодорожных перевозок </w:t>
      </w:r>
    </w:p>
    <w:p w:rsidR="003150B4" w:rsidRPr="003150B4" w:rsidRDefault="003150B4" w:rsidP="003150B4">
      <w:pPr>
        <w:pStyle w:val="a5"/>
        <w:spacing w:before="0" w:beforeAutospacing="0" w:after="0" w:afterAutospacing="0"/>
        <w:textAlignment w:val="baseline"/>
      </w:pPr>
      <w:r w:rsidRPr="003150B4">
        <w:rPr>
          <w:rFonts w:eastAsiaTheme="minorEastAsia"/>
          <w:b/>
          <w:bCs/>
          <w:color w:val="000000" w:themeColor="text1"/>
          <w:kern w:val="24"/>
        </w:rPr>
        <w:t>металла и металлургического сырья: проблемы и перспективы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>Добрый день, уважаемые коллеги, участники конференции.</w:t>
      </w:r>
    </w:p>
    <w:p w:rsidR="003150B4" w:rsidRPr="003150B4" w:rsidRDefault="003150B4" w:rsidP="003150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>Позвольте поблагодарить за возможность поделиться мыслями и наработанным опытом в сфере организации железнодорожных перевозок предприятий металлургической отрасли.</w:t>
      </w:r>
    </w:p>
    <w:p w:rsidR="003150B4" w:rsidRPr="003150B4" w:rsidRDefault="003150B4" w:rsidP="003150B4">
      <w:pPr>
        <w:spacing w:after="0" w:line="240" w:lineRule="auto"/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 w:rsidRPr="003150B4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eastAsia="ru-RU"/>
        </w:rPr>
        <w:t>СЛАЙД 2</w:t>
      </w:r>
    </w:p>
    <w:p w:rsidR="003150B4" w:rsidRDefault="003150B4" w:rsidP="003150B4">
      <w:pPr>
        <w:spacing w:after="0" w:line="240" w:lineRule="auto"/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Для начала несколько слов о «Новой перевозочной компании».</w:t>
      </w:r>
      <w:r w:rsidRPr="003150B4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 xml:space="preserve">Бизнес НПК как раз вырос из успешной реализации крупных проектов для ведущих российских  металлургических предприятий. С момента создания уже в течение 10 лет </w:t>
      </w:r>
      <w:r w:rsidRPr="003150B4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ОАО «НПК» занимает лидирующие позиции по органи</w:t>
      </w:r>
      <w:r w:rsidR="00C15447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зации перевозок продукции горно</w:t>
      </w:r>
      <w:r w:rsidRPr="003150B4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добывающих, металлургических и 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горно-обогатительных комбинатов.</w:t>
      </w:r>
      <w:r w:rsidRPr="003150B4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</w:p>
    <w:p w:rsidR="003150B4" w:rsidRPr="003150B4" w:rsidRDefault="003150B4" w:rsidP="003150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П</w:t>
      </w:r>
      <w:r w:rsidRPr="003150B4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о данным на 30.06.2013 в упра</w:t>
      </w:r>
      <w:r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влении НПК находится свыше 38,8</w:t>
      </w:r>
      <w:r w:rsidRPr="003150B4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тыс. полувагонов. </w:t>
      </w:r>
    </w:p>
    <w:p w:rsidR="003150B4" w:rsidRPr="00C15447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</w:rPr>
        <w:t>Н</w:t>
      </w:r>
      <w:r w:rsidRPr="003150B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ашими клиентами в части универсального подвижного состава на сегодняшний день являются абсолютное большинство крупнейших горнодобывающих и металлургических предприятий РФ.</w:t>
      </w:r>
    </w:p>
    <w:p w:rsidR="003150B4" w:rsidRPr="00C15447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52%</w:t>
      </w:r>
      <w:r w:rsidRPr="003150B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от общего объема перевозок НПК в 1-ом полугодии 2013 года составили отправки черных металлов и металлопродукции, лома черных металлов и руды.</w:t>
      </w:r>
    </w:p>
    <w:p w:rsidR="003150B4" w:rsidRPr="00C15447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По итогам 1-ого полугодия 2013 года НПК перевезла </w:t>
      </w:r>
      <w:r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5,8 </w:t>
      </w:r>
      <w:proofErr w:type="gramStart"/>
      <w:r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млн</w:t>
      </w:r>
      <w:proofErr w:type="gramEnd"/>
      <w:r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т металла и металлических изделий, 9,8 млн т руды, 1,1 млн т лома черных металлов и </w:t>
      </w:r>
      <w:r w:rsidR="00C15447"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400 </w:t>
      </w:r>
      <w:r w:rsid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тысяч</w:t>
      </w:r>
      <w:r w:rsidRPr="00C15447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т кокса.</w:t>
      </w:r>
    </w:p>
    <w:p w:rsidR="003150B4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kern w:val="24"/>
          <w:sz w:val="24"/>
          <w:szCs w:val="24"/>
          <w:lang w:eastAsia="ru-RU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</w:pPr>
    </w:p>
    <w:p w:rsidR="003150B4" w:rsidRPr="00C15447" w:rsidRDefault="003150B4" w:rsidP="00C15447">
      <w:pPr>
        <w:spacing w:after="0" w:line="240" w:lineRule="auto"/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eastAsia="ru-RU"/>
        </w:rPr>
      </w:pPr>
      <w:r w:rsidRPr="00C15447">
        <w:rPr>
          <w:rFonts w:ascii="Times New Roman" w:eastAsiaTheme="minorEastAsia" w:hAnsi="Times New Roman" w:cs="Times New Roman"/>
          <w:bCs/>
          <w:color w:val="000000"/>
          <w:kern w:val="24"/>
          <w:sz w:val="24"/>
          <w:szCs w:val="24"/>
          <w:lang w:eastAsia="ru-RU"/>
        </w:rPr>
        <w:t>СЛАЙД3</w:t>
      </w:r>
    </w:p>
    <w:p w:rsidR="003150B4" w:rsidRDefault="003150B4" w:rsidP="00315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мы не понаслышке понимаем, что для грузовладельца важны три основных фактора, с точки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он рассматривает любые события на железной дороге. </w:t>
      </w:r>
      <w:r>
        <w:rPr>
          <w:rFonts w:ascii="Times New Roman" w:hAnsi="Times New Roman" w:cs="Times New Roman"/>
          <w:sz w:val="24"/>
          <w:szCs w:val="24"/>
        </w:rPr>
        <w:t xml:space="preserve">Во-первых, оператор должен обеспечить гарантированный вывоз продукции в полном объеме, в соответствии с согласованными заявками. Не менее важно обеспечить минимизацию расходов в логистических цепях поставки горно-металлургических грузов, а также повышать эффективность операционного сопровождения перевозок. </w:t>
      </w:r>
    </w:p>
    <w:p w:rsidR="003150B4" w:rsidRDefault="003150B4" w:rsidP="003150B4">
      <w:pPr>
        <w:spacing w:after="0" w:line="240" w:lineRule="auto"/>
        <w:rPr>
          <w:rFonts w:ascii="Times New Roman" w:eastAsia="Verdana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При этом специфика осуществления перевозок для металлургических холдингов такова, что оператору приходится работать с большим количеством сдвоенных операций, большим количеством станций назначений грузов,</w:t>
      </w:r>
      <w:r>
        <w:rPr>
          <w:rFonts w:ascii="Times New Roman" w:eastAsia="Verdana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сильными колебаниями объемов суточной погрузки, изменениями направлений перевозок в течение месяца, что связано со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спотовым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характером рынка, особенно в экспортном направлении.</w:t>
      </w:r>
    </w:p>
    <w:p w:rsidR="003150B4" w:rsidRDefault="003150B4" w:rsidP="003150B4">
      <w:pPr>
        <w:spacing w:after="0" w:line="240" w:lineRule="auto"/>
        <w:textAlignment w:val="baseline"/>
      </w:pPr>
    </w:p>
    <w:p w:rsidR="003150B4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СЛАЙД 4</w:t>
      </w:r>
    </w:p>
    <w:p w:rsidR="003150B4" w:rsidRPr="003150B4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Объемы погрузки металлов и металлургического сырья, составляющие порядка 15% в общем объеме погрузки на сети ОАО «РЖД», демонстрируют значительную корреляцию с индексом промышленного производства. Общее снижение промышленного производства приводит к пропорциональному падению погрузки металлургов.</w:t>
      </w:r>
      <w:r w:rsidRPr="003150B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 xml:space="preserve"> К примеру, в кризисное второе полугодие 2008 года мы видим не только общий спад промышленного производства, но и пропорциональный  спад погрузки металлургов.</w:t>
      </w:r>
    </w:p>
    <w:p w:rsidR="003150B4" w:rsidRDefault="003150B4" w:rsidP="003150B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то, что в течение текущего года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общие объемы погрузки горно-металлургического сектора на сети российских железных дорог несколько снижаются, падение погрузки далеко не столь значительно, как во время кризиса 2008 года.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5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B4C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F389181" wp14:editId="5832B843">
            <wp:extent cx="5940425" cy="1138555"/>
            <wp:effectExtent l="0" t="0" r="3175" b="4445"/>
            <wp:docPr id="1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Тенденция к снижению потребления стального проката и сырья для его производства вследствие стагнации спроса на мировом рынке практически во всех регионах сбыта продукции российских металлургических комбинатов обозначилась еще в 2012 году. Крупнейшие страны-импортеры российского стального проката создавали импортозамещающие мощности, ограничивали импорт стальной продукции в силу экономических или политических причин. Уже тогда спрос на продукцию российских металлургов существенно отставал от предложения. Это повлекло за собой перепроизводство металлопродукции в том или ином объеме фактически на всех российских меткомбинатах.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текущем году значительного перелома ситуации в глобальной экономике в лучшую сторону не произошло. Спрос в странах-импортерах российского стального проката продолжает находиться в неустойчивом состоянии. </w:t>
      </w:r>
    </w:p>
    <w:p w:rsidR="003150B4" w:rsidRDefault="003150B4" w:rsidP="003150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6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Характерным трендом текущего года стало увеличение объемов внутренних перевозок наряду со снижением экспорта.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Несколько сократился европейский спрос на сталь. Слабой цепочкой в потреблении стали в Европе остается строительная отрасль, 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машино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 автомобилестроение, по прогнозам экспертов, будет увеличивать спрос на сталь лишь к концу 2013 года. Однако,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есмотря на сохранение неблагоприятной экономической ситуации в еврозоне,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эксперты все же ожидают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екоторого улучшения ситуации на мировом рынке до конца года – за счет потребителей в США, Китае и Индии. </w:t>
      </w:r>
    </w:p>
    <w:p w:rsidR="003150B4" w:rsidRDefault="003150B4" w:rsidP="00315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То есть, в текущем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году рост производства в российской металлургической отрасли обеспечивается в большей степени увеличением внутренних поставок и в меньшей степени экспортом.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драйверами роста внутреннего спроса на стальной прокат являются строительный сектор (реализация проектов: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XXII Зимние Олимпийские игры - 2014, XXVII Всемирная летняя Универсиада - 2013, Чемпионат мира по футболу - 2018 и другие проекты), а также автомобильная промышленность и машиностроение.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целом, </w:t>
      </w:r>
      <w:r>
        <w:rPr>
          <w:rFonts w:ascii="Times New Roman" w:hAnsi="Times New Roman" w:cs="Times New Roman"/>
          <w:sz w:val="24"/>
          <w:szCs w:val="24"/>
        </w:rPr>
        <w:t xml:space="preserve">продавать в России становится выгоднее, чем поставлять за рубеж, так как премия производителя на отечественном рынке выше: внутренний потребитель заинтересован в более качественных марках стали. Металлургические холдинги считают российский рынок приоритетным, увеличивая долю поставок на внутренний рынок. </w:t>
      </w:r>
    </w:p>
    <w:p w:rsidR="003150B4" w:rsidRDefault="003150B4" w:rsidP="00315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0B4" w:rsidRDefault="003150B4" w:rsidP="00315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7</w:t>
      </w:r>
    </w:p>
    <w:p w:rsidR="003150B4" w:rsidRDefault="003150B4" w:rsidP="003150B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hAnsi="Times New Roman" w:cs="Times New Roman"/>
          <w:sz w:val="24"/>
          <w:szCs w:val="24"/>
        </w:rPr>
        <w:t>Следующий слайд демонстрирует характерный для рынка услуг по предоставлению вагонов для  перевозок металлов и металлургического сырья. В связи с развитием конкуренции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бъективной необходимостью стала консолидация активов на базе крупных операторских компаний.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И если до 2012 года рынок слияний и поглощений в сегменте оперирования подвижным составом развивался достаточно медленно и неравномерно (до 2010 года их количество не превышало 2 сделок в год), то уже в прошлом году было совершено наибольшее количество сделок слияний и поглощений – 19.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0B4" w:rsidRDefault="003150B4" w:rsidP="003150B4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Default="003150B4" w:rsidP="003150B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150B4" w:rsidRDefault="003150B4" w:rsidP="003150B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СЛАЙД 8</w:t>
      </w:r>
    </w:p>
    <w:p w:rsidR="003150B4" w:rsidRDefault="003150B4" w:rsidP="003150B4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150B4" w:rsidRPr="005A6B4C" w:rsidRDefault="003150B4" w:rsidP="003150B4">
      <w:pPr>
        <w:pStyle w:val="a8"/>
        <w:spacing w:after="0" w:line="240" w:lineRule="auto"/>
        <w:ind w:left="0"/>
        <w:rPr>
          <w:rFonts w:ascii="Times New Roman" w:eastAsia="Times New Roman" w:hAnsi="Times New Roman"/>
          <w:color w:val="000000"/>
          <w:kern w:val="24"/>
          <w:sz w:val="24"/>
          <w:szCs w:val="24"/>
        </w:rPr>
      </w:pPr>
      <w:r w:rsidRPr="005A6B4C">
        <w:rPr>
          <w:rFonts w:ascii="Times New Roman" w:hAnsi="Times New Roman"/>
          <w:sz w:val="24"/>
          <w:szCs w:val="24"/>
        </w:rPr>
        <w:t xml:space="preserve">Это наиболее крупные сделки </w:t>
      </w:r>
      <w:r w:rsidRPr="005103AC">
        <w:rPr>
          <w:rFonts w:ascii="Times New Roman" w:eastAsia="Times New Roman" w:hAnsi="Times New Roman"/>
          <w:color w:val="000000"/>
          <w:kern w:val="24"/>
          <w:sz w:val="24"/>
          <w:szCs w:val="24"/>
        </w:rPr>
        <w:t>M&amp;A</w:t>
      </w:r>
      <w:r w:rsidRPr="005A6B4C">
        <w:rPr>
          <w:rFonts w:ascii="Times New Roman" w:eastAsia="Times New Roman" w:hAnsi="Times New Roman"/>
          <w:color w:val="000000"/>
          <w:kern w:val="24"/>
          <w:sz w:val="24"/>
          <w:szCs w:val="24"/>
        </w:rPr>
        <w:t xml:space="preserve"> в сегменте жд перевозок за последние 2 года.</w:t>
      </w:r>
    </w:p>
    <w:p w:rsidR="003150B4" w:rsidRDefault="003150B4" w:rsidP="003150B4">
      <w:pPr>
        <w:pStyle w:val="a3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3150B4" w:rsidRDefault="006944E8" w:rsidP="003150B4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СЛАЙД 9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Доля долгосрочных контактов в погрузке металлов и металлургического сырья, по данным за 9 мес. 2013 года, составляет 24,2%. По нашим оценкам, это не предел роста в этом сегменте.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Крупным грузоотправителям и железнодорожным операторам взаимовыгодно заключение долгосрочных соглашений. Это гарантирует операторским компаниям прогнозируемость грузовой базы, а грузоотправителям – качество и прогнозируемую стоимость транспортных услуг на перспективу.</w:t>
      </w: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3150B4" w:rsidRDefault="003150B4" w:rsidP="003150B4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</w:p>
    <w:p w:rsidR="003150B4" w:rsidRDefault="006944E8" w:rsidP="003150B4">
      <w:pPr>
        <w:spacing w:after="0" w:line="240" w:lineRule="auto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СЛАЙД 10</w:t>
      </w:r>
    </w:p>
    <w:p w:rsidR="003150B4" w:rsidRPr="00F272E8" w:rsidRDefault="003150B4" w:rsidP="003150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Мы проводили анализ долей долгосрочных контрактов в погрузке в полувагонах крупнейших российских операторов на примере трех участников рынка – ОАО «Первая грузовая компания», ЗАО «НефтеТрансСервис» и нашего холдинга – группы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Globaltrans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F272E8" w:rsidRPr="00F272E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</w:t>
      </w:r>
      <w:r w:rsidR="00F272E8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У </w:t>
      </w:r>
      <w:r w:rsidR="00F272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нашего холдинга – группы </w:t>
      </w:r>
      <w:proofErr w:type="spellStart"/>
      <w:r w:rsidR="00F272E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Globaltrans</w:t>
      </w:r>
      <w:proofErr w:type="spellEnd"/>
      <w:r w:rsidR="00F272E8" w:rsidRPr="00F272E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272E8">
        <w:rPr>
          <w:rFonts w:ascii="Times New Roman" w:eastAsia="Calibri" w:hAnsi="Times New Roman" w:cs="Times New Roman"/>
          <w:sz w:val="24"/>
          <w:szCs w:val="24"/>
          <w:lang w:eastAsia="ru-RU"/>
        </w:rPr>
        <w:t>долгосрочными договорами законтрактовано около 80% собственного парка полувагонов</w:t>
      </w:r>
      <w:r w:rsidR="007D116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150B4" w:rsidRPr="003150B4" w:rsidRDefault="003150B4" w:rsidP="003150B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Пользователям транспортных услуг стало выгоднее (с точки зрения как затрат, так и качества) использовать профессиональные компании на аутсорсинге, чем управлять собственным парком. </w:t>
      </w:r>
    </w:p>
    <w:p w:rsidR="003150B4" w:rsidRPr="003150B4" w:rsidRDefault="003150B4" w:rsidP="003150B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</w:t>
      </w:r>
      <w:r w:rsidR="00694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</w:t>
      </w:r>
    </w:p>
    <w:p w:rsidR="003150B4" w:rsidRPr="003150B4" w:rsidRDefault="003150B4" w:rsidP="003150B4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Теперь о проблемах. </w:t>
      </w:r>
      <w:r w:rsidRPr="003150B4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ru-RU"/>
        </w:rPr>
        <w:t>В</w:t>
      </w:r>
      <w:r w:rsidRPr="003150B4">
        <w:rPr>
          <w:rFonts w:ascii="Times New Roman" w:eastAsia="Calibri" w:hAnsi="Times New Roman" w:cs="Times New Roman"/>
          <w:bCs/>
          <w:sz w:val="24"/>
          <w:szCs w:val="24"/>
        </w:rPr>
        <w:t xml:space="preserve"> настоящее время на сети российских железных дорог наблюдается систематическое снижение технологических и экономических показателей деятельности участников перевозки, что отрицательно влияет на конкурентоспособность реального сектора экономики страны в целом. 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bCs/>
          <w:sz w:val="24"/>
          <w:szCs w:val="24"/>
        </w:rPr>
        <w:t xml:space="preserve">Стоит отметить, что ОАО «РЖД» достаточно много делает для того, чтобы решить обозначенные проблемы. Но применяемые перевозчиком меры по улучшению ситуации на сети ведут к разрешению локальных ситуаций, но не приводят к ожидаемому результату для всей системы грузовых железнодорожных перевозок. </w:t>
      </w:r>
      <w:r w:rsidRPr="003150B4">
        <w:rPr>
          <w:rFonts w:ascii="Times New Roman" w:hAnsi="Times New Roman" w:cs="Times New Roman"/>
          <w:sz w:val="24"/>
          <w:szCs w:val="24"/>
        </w:rPr>
        <w:t xml:space="preserve">Принятый ОАО «РЖД» в конце 2012 года Единый сетевой технологический процесс не работает полноценно, поскольку его внедрение требует внесения изменений в нормативную правовую базу. 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ЕСТП частично </w:t>
      </w:r>
      <w:proofErr w:type="gramStart"/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</w:t>
      </w:r>
      <w:proofErr w:type="gramEnd"/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нормировании. </w:t>
      </w:r>
      <w:r w:rsidRPr="003150B4">
        <w:rPr>
          <w:rFonts w:ascii="Times New Roman" w:hAnsi="Times New Roman" w:cs="Times New Roman"/>
          <w:sz w:val="24"/>
          <w:szCs w:val="24"/>
        </w:rPr>
        <w:t>Внесение изменений в правила перевозок и введение логистического контроля лишь частично реализованы за счет принятия Приказа № 258. Наблюдается общая тенденция к снижению ответственности перевозчика и введению экономических барьеров для грузоотправителей и операторов, что, естественно, вызывает у них возражения.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основных технологических показателей эффективности грузовых железнодорожных перевозок является оборот вагона, на который влияют все участники перевозочного процесса.  На протяжении длительного периода наблюдается его снижение. 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Среднее время оборота вагона выросло с 13,4  суток в 2010 году до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16,9 суток по данным за 10 месяцев текущего года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D0C38B4" wp14:editId="28E80791">
            <wp:extent cx="4181310" cy="2674602"/>
            <wp:effectExtent l="0" t="0" r="10160" b="1206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наблюдается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снижение скорости доставки грузов на сети ОАО «РЖД». В 2012 году она упала до 219 км/сутки, что составляет 9 км/ч.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за 10 месяцев текущего года, она составляет 229 км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ч. При этом, если для груженых вагонов средняя скорость 251 км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ч, то для порожних вагонов – это всего 190 км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в сутки! 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F0F00C" wp14:editId="0435C8B7">
            <wp:extent cx="3965285" cy="2674424"/>
            <wp:effectExtent l="0" t="0" r="16510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показатель существенно снижает конкурентоспособность железнодорожных перевозок. Нарушаются нормативные сроки доставки, что приводит к затратам ОАО «РЖД» на оплату штрафов. Если в 2010 году доля отправок, доставленных в установленные сроки, составляла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87,2%, то </w:t>
      </w:r>
      <w:r w:rsidR="0000529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сентябре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года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тот показатель составляет уже </w:t>
      </w:r>
      <w:r w:rsidR="00005291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994F57D" wp14:editId="529A7714">
            <wp:extent cx="4181310" cy="2448272"/>
            <wp:effectExtent l="0" t="0" r="10160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Существенно увеличилось время нахождения вагона на технических станциях в период осуществления перевозки.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Так, по данным ОАО «РЖД», среднее время простоя вагона на одной технической станции возросло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5,27 часов в 2008 году до 9,8 часов в 2013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(10 месяцев)</w:t>
      </w:r>
      <w:r w:rsidRPr="003150B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150B4" w:rsidRPr="003150B4" w:rsidRDefault="003150B4" w:rsidP="003150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34370B" wp14:editId="1F307CC9">
            <wp:extent cx="3960440" cy="2448272"/>
            <wp:effectExtent l="0" t="0" r="21590" b="952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150B4" w:rsidRPr="003150B4" w:rsidRDefault="003150B4" w:rsidP="003150B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</w:p>
    <w:p w:rsidR="003150B4" w:rsidRPr="003150B4" w:rsidRDefault="006944E8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СЛАЙД 12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технологическим процессом, которым управляют операторы, является заадресация порожнего вагона под погрузку. При его увеличении увеличивается загрузка инфраструктуры, понижается эффективность перевозки в целом. Статистика показывает отсутствие ухудшения этого показателя. В среднем по сети в последние 3 года он остается на уровне 67-68%. У полувагонов «Новой перевозочной» он даже снижается – с 42% в 2010-м до 39% - по итогам 2012 года.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E1FCB73" wp14:editId="14CCD837">
            <wp:extent cx="2886075" cy="1447165"/>
            <wp:effectExtent l="0" t="0" r="0" b="0"/>
            <wp:docPr id="6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3150B4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8F7CDE" wp14:editId="48B5FDAE">
            <wp:extent cx="2886075" cy="1447165"/>
            <wp:effectExtent l="0" t="0" r="0" b="0"/>
            <wp:docPr id="7" name="Диаграмма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150B4" w:rsidRPr="003150B4" w:rsidRDefault="003150B4" w:rsidP="003150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можно сделать вывод о том, что независимо от объема перевозок и размера парка, показатели работы ОАО «РЖД» стабильно ухудшаются. Показатели работы операторов остаются на прежнем уровне.</w:t>
      </w:r>
    </w:p>
    <w:p w:rsidR="003150B4" w:rsidRPr="003150B4" w:rsidRDefault="003150B4" w:rsidP="003150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6944E8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13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следующем слайде перечислены меры, направленные на решение проблем на сети ОАО «РЖД».</w:t>
      </w:r>
    </w:p>
    <w:p w:rsidR="003150B4" w:rsidRPr="003150B4" w:rsidRDefault="003150B4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области технологических решений это:</w:t>
      </w:r>
    </w:p>
    <w:p w:rsidR="003150B4" w:rsidRPr="003150B4" w:rsidRDefault="003150B4" w:rsidP="003150B4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единой технологии перевозок с учетом баланса интересов всех участников (РЖД, грузовладельцев, операторов), от планирования до механизма оценки эффективности к</w:t>
      </w:r>
      <w:r w:rsidR="006944E8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аждого участника перевозки</w:t>
      </w: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его зон ответственности;</w:t>
      </w:r>
    </w:p>
    <w:p w:rsidR="003150B4" w:rsidRPr="003150B4" w:rsidRDefault="003150B4" w:rsidP="003150B4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и реализация плана по повышению уровня отправительской и технической маршрутизации на сети РЖД.</w:t>
      </w:r>
    </w:p>
    <w:p w:rsidR="003150B4" w:rsidRPr="003150B4" w:rsidRDefault="003150B4" w:rsidP="003150B4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3150B4">
        <w:rPr>
          <w:rFonts w:ascii="Times New Roman" w:hAnsi="Times New Roman"/>
          <w:sz w:val="24"/>
        </w:rPr>
        <w:t>Обозначенные меры должны, по нашим оценкам, должны привести к повышению эффективности грузовых ж</w:t>
      </w:r>
      <w:r>
        <w:rPr>
          <w:rFonts w:ascii="Times New Roman" w:hAnsi="Times New Roman"/>
          <w:sz w:val="24"/>
        </w:rPr>
        <w:t>.</w:t>
      </w:r>
      <w:r w:rsidRPr="003150B4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.</w:t>
      </w:r>
      <w:r w:rsidRPr="003150B4">
        <w:rPr>
          <w:rFonts w:ascii="Times New Roman" w:hAnsi="Times New Roman"/>
          <w:sz w:val="24"/>
        </w:rPr>
        <w:t xml:space="preserve"> перевозок. </w:t>
      </w:r>
      <w:r w:rsidRPr="003150B4">
        <w:rPr>
          <w:rFonts w:ascii="Times New Roman" w:hAnsi="Times New Roman" w:cs="Arial"/>
          <w:sz w:val="24"/>
          <w:szCs w:val="24"/>
        </w:rPr>
        <w:t xml:space="preserve">Объективная потребность рынка железнодорожных перевозок – это более тесные формы взаимодействия его участников – перевозчика, грузоотправителей и операторов, а также более жесткие формы взаимной ответственности между его участниками операторского рынка. </w:t>
      </w:r>
    </w:p>
    <w:p w:rsidR="003150B4" w:rsidRPr="003150B4" w:rsidRDefault="006944E8" w:rsidP="003150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/>
          <w:sz w:val="24"/>
          <w:szCs w:val="24"/>
        </w:rPr>
        <w:t xml:space="preserve">Наиболее эффективными стимулами являются </w:t>
      </w:r>
      <w:proofErr w:type="gramStart"/>
      <w:r w:rsidRPr="003150B4">
        <w:rPr>
          <w:rFonts w:ascii="Times New Roman" w:eastAsia="Times New Roman" w:hAnsi="Times New Roman"/>
          <w:sz w:val="24"/>
          <w:szCs w:val="24"/>
        </w:rPr>
        <w:t>экономические</w:t>
      </w:r>
      <w:proofErr w:type="gramEnd"/>
      <w:r w:rsidRPr="003150B4">
        <w:rPr>
          <w:rFonts w:ascii="Times New Roman" w:eastAsia="Times New Roman" w:hAnsi="Times New Roman"/>
          <w:sz w:val="24"/>
          <w:szCs w:val="24"/>
        </w:rPr>
        <w:t>. Именно такие нужны как для замены и списания старого парка вагонов, так и для стимулирования приобретения инновационных вагонов, в том числе путем принятия соответствующих тарифных решений.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150B4" w:rsidRPr="003150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области экономики и ценообразования это:</w:t>
      </w:r>
    </w:p>
    <w:p w:rsidR="003150B4" w:rsidRPr="003150B4" w:rsidRDefault="003150B4" w:rsidP="003150B4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частных инвестиций в обновление локомотивов, в т.ч. путем создания института частных перевозчиков;</w:t>
      </w:r>
    </w:p>
    <w:p w:rsidR="003150B4" w:rsidRPr="003150B4" w:rsidRDefault="003150B4" w:rsidP="003150B4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стимулирование маршрутизации;</w:t>
      </w:r>
    </w:p>
    <w:p w:rsidR="003150B4" w:rsidRDefault="003150B4" w:rsidP="003150B4">
      <w:pPr>
        <w:numPr>
          <w:ilvl w:val="0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0B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экономических стимулов для замены и</w:t>
      </w:r>
      <w:r w:rsidR="00694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списания старого парка вагонов.</w:t>
      </w:r>
    </w:p>
    <w:p w:rsidR="006944E8" w:rsidRPr="003150B4" w:rsidRDefault="006944E8" w:rsidP="006944E8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B4" w:rsidRPr="003150B4" w:rsidRDefault="003150B4" w:rsidP="003150B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Спасибо за внимание!</w:t>
      </w:r>
    </w:p>
    <w:p w:rsidR="003150B4" w:rsidRPr="003150B4" w:rsidRDefault="003150B4" w:rsidP="003150B4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150B4" w:rsidRPr="00315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CD6"/>
    <w:multiLevelType w:val="hybridMultilevel"/>
    <w:tmpl w:val="4766887A"/>
    <w:lvl w:ilvl="0" w:tplc="3364FB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20D5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B639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5454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E82B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021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66AD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6436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465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74515"/>
    <w:multiLevelType w:val="hybridMultilevel"/>
    <w:tmpl w:val="E9DAF60C"/>
    <w:lvl w:ilvl="0" w:tplc="CE9E171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6E"/>
    <w:rsid w:val="00005291"/>
    <w:rsid w:val="003150B4"/>
    <w:rsid w:val="0032477B"/>
    <w:rsid w:val="006944E8"/>
    <w:rsid w:val="007D1167"/>
    <w:rsid w:val="009E2B6E"/>
    <w:rsid w:val="00C15447"/>
    <w:rsid w:val="00F2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50B4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3150B4"/>
    <w:rPr>
      <w:rFonts w:ascii="Calibri" w:hAnsi="Calibri"/>
      <w:szCs w:val="21"/>
    </w:rPr>
  </w:style>
  <w:style w:type="paragraph" w:styleId="a5">
    <w:name w:val="Normal (Web)"/>
    <w:basedOn w:val="a"/>
    <w:uiPriority w:val="99"/>
    <w:semiHidden/>
    <w:unhideWhenUsed/>
    <w:rsid w:val="0031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50B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50B4"/>
    <w:pPr>
      <w:ind w:left="720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150B4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rsid w:val="003150B4"/>
    <w:rPr>
      <w:rFonts w:ascii="Calibri" w:hAnsi="Calibri"/>
      <w:szCs w:val="21"/>
    </w:rPr>
  </w:style>
  <w:style w:type="paragraph" w:styleId="a5">
    <w:name w:val="Normal (Web)"/>
    <w:basedOn w:val="a"/>
    <w:uiPriority w:val="99"/>
    <w:semiHidden/>
    <w:unhideWhenUsed/>
    <w:rsid w:val="0031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50B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50B4"/>
    <w:pPr>
      <w:ind w:left="720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0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2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2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8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hart" Target="charts/chart5.xml"/><Relationship Id="rId5" Type="http://schemas.openxmlformats.org/officeDocument/2006/relationships/webSettings" Target="webSettings.xml"/><Relationship Id="rId10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chart" Target="charts/chart3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txPr>
        <a:bodyPr/>
        <a:lstStyle/>
        <a:p>
          <a:pPr algn="ctr" rtl="0">
            <a:defRPr lang="ru-RU" sz="1200" b="1" i="0" u="none" strike="noStrike" kern="1200" baseline="0">
              <a:solidFill>
                <a:srgbClr val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3.3410581851142346E-2"/>
          <c:y val="0.19375742633857299"/>
          <c:w val="0.93317883629771536"/>
          <c:h val="0.6837821103850216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Лист1!$B$10</c:f>
              <c:strCache>
                <c:ptCount val="1"/>
                <c:pt idx="0">
                  <c:v>Среднее время оборота, суток</c:v>
                </c:pt>
              </c:strCache>
            </c:strRef>
          </c:tx>
          <c:invertIfNegative val="0"/>
          <c:dLbls>
            <c:txPr>
              <a:bodyPr/>
              <a:lstStyle/>
              <a:p>
                <a:pPr algn="ctr">
                  <a:defRPr lang="ru-RU" sz="1200" b="1" i="0" u="none" strike="noStrike" kern="1200" baseline="0">
                    <a:solidFill>
                      <a:srgbClr val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Лист1!$C$7:$F$7</c:f>
              <c:strCache>
                <c:ptCount val="4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</c:strCache>
            </c:strRef>
          </c:cat>
          <c:val>
            <c:numRef>
              <c:f>Лист1!$C$10:$F$10</c:f>
              <c:numCache>
                <c:formatCode>General</c:formatCode>
                <c:ptCount val="4"/>
                <c:pt idx="0">
                  <c:v>13.44</c:v>
                </c:pt>
                <c:pt idx="1">
                  <c:v>14.4</c:v>
                </c:pt>
                <c:pt idx="2">
                  <c:v>15.49</c:v>
                </c:pt>
                <c:pt idx="3">
                  <c:v>16.899999999999999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948736"/>
        <c:axId val="177258496"/>
      </c:barChart>
      <c:catAx>
        <c:axId val="192948736"/>
        <c:scaling>
          <c:orientation val="minMax"/>
        </c:scaling>
        <c:delete val="0"/>
        <c:axPos val="b"/>
        <c:majorGridlines>
          <c:spPr>
            <a:ln>
              <a:noFill/>
            </a:ln>
          </c:spPr>
        </c:majorGridlines>
        <c:majorTickMark val="out"/>
        <c:minorTickMark val="none"/>
        <c:tickLblPos val="nextTo"/>
        <c:txPr>
          <a:bodyPr/>
          <a:lstStyle/>
          <a:p>
            <a:pPr algn="ctr">
              <a:defRPr lang="ru-RU" sz="1100" b="1" i="0" u="none" strike="noStrike" kern="1200" baseline="0">
                <a:solidFill>
                  <a:srgbClr val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177258496"/>
        <c:crosses val="autoZero"/>
        <c:auto val="1"/>
        <c:lblAlgn val="ctr"/>
        <c:lblOffset val="100"/>
        <c:noMultiLvlLbl val="0"/>
      </c:catAx>
      <c:valAx>
        <c:axId val="177258496"/>
        <c:scaling>
          <c:orientation val="minMax"/>
          <c:max val="17"/>
          <c:min val="13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none"/>
        <c:minorTickMark val="none"/>
        <c:tickLblPos val="none"/>
        <c:spPr>
          <a:ln>
            <a:noFill/>
          </a:ln>
        </c:spPr>
        <c:crossAx val="192948736"/>
        <c:crosses val="autoZero"/>
        <c:crossBetween val="between"/>
      </c:valAx>
      <c:spPr>
        <a:ln>
          <a:noFill/>
        </a:ln>
      </c:spPr>
    </c:plotArea>
    <c:plotVisOnly val="1"/>
    <c:dispBlanksAs val="gap"/>
    <c:showDLblsOverMax val="0"/>
  </c:chart>
  <c:spPr>
    <a:ln>
      <a:solidFill>
        <a:schemeClr val="accent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  <c:txPr>
        <a:bodyPr/>
        <a:lstStyle/>
        <a:p>
          <a:pPr algn="ctr" rtl="0">
            <a:defRPr lang="ru-RU" sz="1200" b="1" i="0" u="none" strike="noStrike" kern="1200" baseline="0">
              <a:solidFill>
                <a:srgbClr val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Лист1!$B$8</c:f>
              <c:strCache>
                <c:ptCount val="1"/>
                <c:pt idx="0">
                  <c:v>Средняя скорость доставки одной отправки, км/сутки</c:v>
                </c:pt>
              </c:strCache>
            </c:strRef>
          </c:tx>
          <c:spPr>
            <a:ln>
              <a:solidFill>
                <a:srgbClr val="C00000"/>
              </a:solidFill>
            </a:ln>
          </c:spPr>
          <c:marker>
            <c:symbol val="none"/>
          </c:marker>
          <c:dLbls>
            <c:txPr>
              <a:bodyPr/>
              <a:lstStyle/>
              <a:p>
                <a:pPr>
                  <a:defRPr sz="1200" b="1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Лист1!$C$7:$F$7</c:f>
              <c:strCache>
                <c:ptCount val="4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</c:strCache>
            </c:strRef>
          </c:cat>
          <c:val>
            <c:numRef>
              <c:f>Лист1!$C$8:$F$8</c:f>
              <c:numCache>
                <c:formatCode>General</c:formatCode>
                <c:ptCount val="4"/>
                <c:pt idx="0">
                  <c:v>274</c:v>
                </c:pt>
                <c:pt idx="1">
                  <c:v>247</c:v>
                </c:pt>
                <c:pt idx="2">
                  <c:v>219</c:v>
                </c:pt>
                <c:pt idx="3">
                  <c:v>229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6484992"/>
        <c:axId val="196910400"/>
      </c:lineChart>
      <c:catAx>
        <c:axId val="206484992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96910400"/>
        <c:crosses val="autoZero"/>
        <c:auto val="1"/>
        <c:lblAlgn val="ctr"/>
        <c:lblOffset val="100"/>
        <c:noMultiLvlLbl val="0"/>
      </c:catAx>
      <c:valAx>
        <c:axId val="196910400"/>
        <c:scaling>
          <c:orientation val="minMax"/>
          <c:min val="200"/>
        </c:scaling>
        <c:delete val="1"/>
        <c:axPos val="l"/>
        <c:numFmt formatCode="General" sourceLinked="1"/>
        <c:majorTickMark val="out"/>
        <c:minorTickMark val="none"/>
        <c:tickLblPos val="nextTo"/>
        <c:crossAx val="206484992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C00000"/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  <c:txPr>
        <a:bodyPr/>
        <a:lstStyle/>
        <a:p>
          <a:pPr>
            <a:defRPr sz="1200"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Лист1!$B$9</c:f>
              <c:strCache>
                <c:ptCount val="1"/>
                <c:pt idx="0">
                  <c:v>Доля отправок, доставленных в установленных сроки, %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69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%" sourceLinked="0"/>
            <c:txPr>
              <a:bodyPr/>
              <a:lstStyle/>
              <a:p>
                <a:pPr>
                  <a:defRPr sz="12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Лист1!$C$7:$F$7</c:f>
              <c:strCache>
                <c:ptCount val="4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</c:strCache>
            </c:strRef>
          </c:cat>
          <c:val>
            <c:numRef>
              <c:f>Лист1!$C$9:$F$9</c:f>
              <c:numCache>
                <c:formatCode>0.00%</c:formatCode>
                <c:ptCount val="4"/>
                <c:pt idx="0">
                  <c:v>0.872</c:v>
                </c:pt>
                <c:pt idx="1">
                  <c:v>0.81599999999999995</c:v>
                </c:pt>
                <c:pt idx="2">
                  <c:v>0.72499999999999998</c:v>
                </c:pt>
                <c:pt idx="3">
                  <c:v>0.77500000000000002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2434304"/>
        <c:axId val="193769408"/>
      </c:barChart>
      <c:catAx>
        <c:axId val="26243430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93769408"/>
        <c:crosses val="autoZero"/>
        <c:auto val="1"/>
        <c:lblAlgn val="ctr"/>
        <c:lblOffset val="100"/>
        <c:noMultiLvlLbl val="0"/>
      </c:catAx>
      <c:valAx>
        <c:axId val="193769408"/>
        <c:scaling>
          <c:orientation val="minMax"/>
          <c:max val="1"/>
          <c:min val="0.60000000000000009"/>
        </c:scaling>
        <c:delete val="1"/>
        <c:axPos val="l"/>
        <c:numFmt formatCode="0.00%" sourceLinked="1"/>
        <c:majorTickMark val="out"/>
        <c:minorTickMark val="none"/>
        <c:tickLblPos val="nextTo"/>
        <c:crossAx val="262434304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C00000"/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  <c:txPr>
        <a:bodyPr/>
        <a:lstStyle/>
        <a:p>
          <a:pPr>
            <a:defRPr sz="1200"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Лист1!$B$13</c:f>
              <c:strCache>
                <c:ptCount val="1"/>
                <c:pt idx="0">
                  <c:v>Время простоя вагона на 1 технической стации, часов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txPr>
              <a:bodyPr/>
              <a:lstStyle/>
              <a:p>
                <a:pPr>
                  <a:defRPr sz="1200" b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Лист1!$C$7:$F$7</c:f>
              <c:strCache>
                <c:ptCount val="4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  <c:pt idx="3">
                  <c:v>2013 год</c:v>
                </c:pt>
              </c:strCache>
            </c:strRef>
          </c:cat>
          <c:val>
            <c:numRef>
              <c:f>Лист1!$C$13:$F$13</c:f>
              <c:numCache>
                <c:formatCode>General</c:formatCode>
                <c:ptCount val="4"/>
                <c:pt idx="0">
                  <c:v>7.27</c:v>
                </c:pt>
                <c:pt idx="1">
                  <c:v>8.31</c:v>
                </c:pt>
                <c:pt idx="2">
                  <c:v>9.18</c:v>
                </c:pt>
                <c:pt idx="3">
                  <c:v>9.8000000000000007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947200"/>
        <c:axId val="289418624"/>
      </c:barChart>
      <c:catAx>
        <c:axId val="1929472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100" b="1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289418624"/>
        <c:crosses val="autoZero"/>
        <c:auto val="1"/>
        <c:lblAlgn val="ctr"/>
        <c:lblOffset val="100"/>
        <c:noMultiLvlLbl val="0"/>
      </c:catAx>
      <c:valAx>
        <c:axId val="289418624"/>
        <c:scaling>
          <c:orientation val="minMax"/>
          <c:max val="10"/>
          <c:min val="7"/>
        </c:scaling>
        <c:delete val="1"/>
        <c:axPos val="l"/>
        <c:numFmt formatCode="General" sourceLinked="1"/>
        <c:majorTickMark val="out"/>
        <c:minorTickMark val="none"/>
        <c:tickLblPos val="nextTo"/>
        <c:crossAx val="192947200"/>
        <c:crosses val="autoZero"/>
        <c:crossBetween val="between"/>
      </c:valAx>
    </c:plotArea>
    <c:plotVisOnly val="1"/>
    <c:dispBlanksAs val="gap"/>
    <c:showDLblsOverMax val="0"/>
  </c:chart>
  <c:spPr>
    <a:ln>
      <a:solidFill>
        <a:srgbClr val="C00000"/>
      </a:solidFill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layout/>
      <c:overlay val="0"/>
      <c:txPr>
        <a:bodyPr/>
        <a:lstStyle/>
        <a:p>
          <a:pPr>
            <a:defRPr sz="997"/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Лист1!$B$15</c:f>
              <c:strCache>
                <c:ptCount val="1"/>
                <c:pt idx="0">
                  <c:v>Порожний рейс вагона, км</c:v>
                </c:pt>
              </c:strCache>
            </c:strRef>
          </c:tx>
          <c:marker>
            <c:symbol val="none"/>
          </c:marker>
          <c:dLbls>
            <c:txPr>
              <a:bodyPr/>
              <a:lstStyle/>
              <a:p>
                <a:pPr>
                  <a:defRPr sz="1097" b="1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Лист1!$C$7:$E$7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Лист1!$C$15:$E$15</c:f>
              <c:numCache>
                <c:formatCode>General</c:formatCode>
                <c:ptCount val="3"/>
                <c:pt idx="0">
                  <c:v>1081</c:v>
                </c:pt>
                <c:pt idx="1">
                  <c:v>1089</c:v>
                </c:pt>
                <c:pt idx="2">
                  <c:v>1114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3415552"/>
        <c:axId val="289420352"/>
      </c:lineChart>
      <c:catAx>
        <c:axId val="203415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9420352"/>
        <c:crosses val="autoZero"/>
        <c:auto val="1"/>
        <c:lblAlgn val="ctr"/>
        <c:lblOffset val="100"/>
        <c:noMultiLvlLbl val="0"/>
      </c:catAx>
      <c:valAx>
        <c:axId val="289420352"/>
        <c:scaling>
          <c:orientation val="minMax"/>
          <c:min val="800"/>
        </c:scaling>
        <c:delete val="1"/>
        <c:axPos val="l"/>
        <c:numFmt formatCode="General" sourceLinked="1"/>
        <c:majorTickMark val="out"/>
        <c:minorTickMark val="none"/>
        <c:tickLblPos val="nextTo"/>
        <c:crossAx val="203415552"/>
        <c:crosses val="autoZero"/>
        <c:crossBetween val="between"/>
      </c:valAx>
    </c:plotArea>
    <c:plotVisOnly val="1"/>
    <c:dispBlanksAs val="gap"/>
    <c:showDLblsOverMax val="0"/>
  </c:chart>
  <c:spPr>
    <a:ln>
      <a:solidFill>
        <a:sysClr val="window" lastClr="FFFFFF">
          <a:lumMod val="50000"/>
        </a:sysClr>
      </a:solidFill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7"/>
            </a:pPr>
            <a:r>
              <a:rPr lang="ru-RU" dirty="0" smtClean="0"/>
              <a:t>Коэффициент </a:t>
            </a:r>
            <a:r>
              <a:rPr lang="ru-RU" dirty="0"/>
              <a:t>порожнего пробега (порожний к </a:t>
            </a:r>
            <a:r>
              <a:rPr lang="ru-RU" dirty="0" smtClean="0"/>
              <a:t>груженому), </a:t>
            </a:r>
            <a:r>
              <a:rPr lang="ru-RU" dirty="0"/>
              <a:t>%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Лист1!$B$16</c:f>
              <c:strCache>
                <c:ptCount val="1"/>
                <c:pt idx="0">
                  <c:v>Кэффициент порожнего пробега (порожний к груженому, %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097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Лист1!$C$7:$E$7</c:f>
              <c:strCache>
                <c:ptCount val="3"/>
                <c:pt idx="0">
                  <c:v>2010 год</c:v>
                </c:pt>
                <c:pt idx="1">
                  <c:v>2011 год</c:v>
                </c:pt>
                <c:pt idx="2">
                  <c:v>2012 год</c:v>
                </c:pt>
              </c:strCache>
            </c:strRef>
          </c:cat>
          <c:val>
            <c:numRef>
              <c:f>Лист1!$C$16:$E$16</c:f>
              <c:numCache>
                <c:formatCode>0%</c:formatCode>
                <c:ptCount val="3"/>
                <c:pt idx="0">
                  <c:v>0.67987421383647795</c:v>
                </c:pt>
                <c:pt idx="1">
                  <c:v>0.67263743051266212</c:v>
                </c:pt>
                <c:pt idx="2">
                  <c:v>0.67885435709932973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0347648"/>
        <c:axId val="289419200"/>
      </c:barChart>
      <c:catAx>
        <c:axId val="280347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89419200"/>
        <c:crosses val="autoZero"/>
        <c:auto val="1"/>
        <c:lblAlgn val="ctr"/>
        <c:lblOffset val="100"/>
        <c:noMultiLvlLbl val="0"/>
      </c:catAx>
      <c:valAx>
        <c:axId val="289419200"/>
        <c:scaling>
          <c:orientation val="minMax"/>
          <c:min val="0"/>
        </c:scaling>
        <c:delete val="0"/>
        <c:axPos val="l"/>
        <c:numFmt formatCode="0%" sourceLinked="1"/>
        <c:majorTickMark val="out"/>
        <c:minorTickMark val="none"/>
        <c:tickLblPos val="nextTo"/>
        <c:crossAx val="280347648"/>
        <c:crosses val="autoZero"/>
        <c:crossBetween val="between"/>
      </c:valAx>
    </c:plotArea>
    <c:plotVisOnly val="1"/>
    <c:dispBlanksAs val="gap"/>
    <c:showDLblsOverMax val="0"/>
  </c:chart>
  <c:spPr>
    <a:ln>
      <a:solidFill>
        <a:sysClr val="window" lastClr="FFFFFF">
          <a:lumMod val="50000"/>
        </a:sysClr>
      </a:solidFill>
    </a:ln>
  </c:spPr>
  <c:externalData r:id="rId2">
    <c:autoUpdate val="0"/>
  </c:externalData>
</c:chartSpace>
</file>

<file path=word/theme/_rels/themeOverrid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Другая 2">
    <a:dk1>
      <a:srgbClr val="000000"/>
    </a:dk1>
    <a:lt1>
      <a:srgbClr val="FFFFFF"/>
    </a:lt1>
    <a:dk2>
      <a:srgbClr val="ADDEEB"/>
    </a:dk2>
    <a:lt2>
      <a:srgbClr val="2C9AB6"/>
    </a:lt2>
    <a:accent1>
      <a:srgbClr val="DBE5F1"/>
    </a:accent1>
    <a:accent2>
      <a:srgbClr val="4F81BD"/>
    </a:accent2>
    <a:accent3>
      <a:srgbClr val="A6A6A6"/>
    </a:accent3>
    <a:accent4>
      <a:srgbClr val="F3ACB0"/>
    </a:accent4>
    <a:accent5>
      <a:srgbClr val="99CC00"/>
    </a:accent5>
    <a:accent6>
      <a:srgbClr val="4F81BD"/>
    </a:accent6>
    <a:hlink>
      <a:srgbClr val="FFFFFF"/>
    </a:hlink>
    <a:folHlink>
      <a:srgbClr val="FFFFFF"/>
    </a:folHlink>
  </a:clrScheme>
  <a:fontScheme name="Справедливость">
    <a:majorFont>
      <a:latin typeface="Franklin Gothic Book"/>
      <a:ea typeface=""/>
      <a:cs typeface=""/>
      <a:font script="Grek" typeface="Calibri"/>
      <a:font script="Cyrl" typeface="Calibri"/>
      <a:font script="Jpan" typeface="HGｺﾞｼｯｸM"/>
      <a:font script="Hang" typeface="바탕"/>
      <a:font script="Hans" typeface="幼圆"/>
      <a:font script="Hant" typeface="微軟正黑體"/>
      <a:font script="Arab" typeface="Tahoma"/>
      <a:font script="Hebr" typeface="Aharoni"/>
      <a:font script="Thai" typeface="Lily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</a:majorFont>
    <a:minorFont>
      <a:latin typeface="Perpetua"/>
      <a:ea typeface=""/>
      <a:cs typeface=""/>
      <a:font script="Grek" typeface="Cambria"/>
      <a:font script="Cyrl" typeface="Cambria"/>
      <a:font script="Jpan" typeface="HG創英ﾌﾟﾚｾﾞﾝｽEB"/>
      <a:font script="Hang" typeface="맑은 고딕"/>
      <a:font script="Hans" typeface="宋体"/>
      <a:font script="Hant" typeface="新細明體"/>
      <a:font script="Arab" typeface="Times New Roman"/>
      <a:font script="Hebr" typeface="Aharoni"/>
      <a:font script="Thai" typeface="EucrosiaUPC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inorFont>
  </a:fontScheme>
  <a:fmtScheme name="Справедливость">
    <a:fillStyleLst>
      <a:solidFill>
        <a:schemeClr val="phClr"/>
      </a:solidFill>
      <a:blipFill>
        <a:blip xmlns:r="http://schemas.openxmlformats.org/officeDocument/2006/relationships" r:embed="rId1">
          <a:duotone>
            <a:schemeClr val="phClr">
              <a:tint val="30000"/>
              <a:satMod val="300000"/>
            </a:schemeClr>
            <a:schemeClr val="phClr">
              <a:tint val="40000"/>
              <a:satMod val="200000"/>
            </a:schemeClr>
          </a:duotone>
        </a:blip>
        <a:tile tx="0" ty="0" sx="70000" sy="70000" flip="none" algn="ctr"/>
      </a:blipFill>
      <a:blipFill>
        <a:blip xmlns:r="http://schemas.openxmlformats.org/officeDocument/2006/relationships" r:embed="rId1">
          <a:duotone>
            <a:schemeClr val="phClr">
              <a:shade val="22000"/>
              <a:satMod val="160000"/>
            </a:schemeClr>
            <a:schemeClr val="phClr">
              <a:shade val="45000"/>
              <a:satMod val="100000"/>
            </a:schemeClr>
          </a:duotone>
        </a:blip>
        <a:tile tx="0" ty="0" sx="65000" sy="65000" flip="none" algn="ctr"/>
      </a:blipFill>
    </a:fillStyleLst>
    <a:lnStyleLst>
      <a:ln w="9525" cap="flat" cmpd="sng" algn="ctr">
        <a:solidFill>
          <a:schemeClr val="phClr">
            <a:shade val="60000"/>
            <a:satMod val="110000"/>
          </a:schemeClr>
        </a:solidFill>
        <a:prstDash val="solid"/>
      </a:ln>
      <a:ln w="127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38100" dist="25400" dir="5400000" algn="t" rotWithShape="0">
            <a:srgbClr val="000000">
              <a:alpha val="50000"/>
            </a:srgbClr>
          </a:outerShdw>
        </a:effectLst>
      </a:effectStyle>
      <a:effectStyle>
        <a:effectLst>
          <a:outerShdw blurRad="38100" dist="25400" dir="5400000" algn="t" rotWithShape="0">
            <a:srgbClr val="000000">
              <a:alpha val="50000"/>
            </a:srgbClr>
          </a:outerShdw>
        </a:effectLst>
      </a:effectStyle>
      <a:effectStyle>
        <a:effectLst>
          <a:outerShdw blurRad="50800" dist="50800" dir="5400000" algn="t" rotWithShape="0">
            <a:srgbClr val="000000">
              <a:alpha val="60000"/>
            </a:srgbClr>
          </a:outerShdw>
        </a:effectLst>
        <a:scene3d>
          <a:camera prst="isometricBottomUp" fov="0">
            <a:rot lat="0" lon="0" rev="0"/>
          </a:camera>
          <a:lightRig rig="soft" dir="b">
            <a:rot lat="0" lon="0" rev="9000000"/>
          </a:lightRig>
        </a:scene3d>
        <a:sp3d contourW="35000" prstMaterial="matte">
          <a:bevelT w="45000" h="38100" prst="convex"/>
          <a:contourClr>
            <a:schemeClr val="phClr">
              <a:tint val="10000"/>
              <a:satMod val="13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shade val="40000"/>
              <a:satMod val="165000"/>
            </a:schemeClr>
          </a:gs>
          <a:gs pos="50000">
            <a:schemeClr val="phClr">
              <a:shade val="80000"/>
              <a:satMod val="155000"/>
            </a:schemeClr>
          </a:gs>
          <a:gs pos="100000">
            <a:schemeClr val="phClr">
              <a:tint val="95000"/>
              <a:satMod val="200000"/>
            </a:schemeClr>
          </a:gs>
        </a:gsLst>
        <a:lin ang="16200000" scaled="1"/>
      </a:gradFill>
      <a:blipFill>
        <a:blip xmlns:r="http://schemas.openxmlformats.org/officeDocument/2006/relationships" r:embed="rId1">
          <a:duotone>
            <a:schemeClr val="phClr">
              <a:tint val="95000"/>
              <a:satMod val="200000"/>
            </a:schemeClr>
            <a:schemeClr val="phClr">
              <a:shade val="80000"/>
              <a:satMod val="100000"/>
            </a:schemeClr>
          </a:duotone>
        </a:blip>
        <a:tile tx="0" ty="0" sx="55000" sy="55000" flip="none" algn="tl"/>
      </a:blip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6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WS-DIT002</Company>
  <LinksUpToDate>false</LinksUpToDate>
  <CharactersWithSpaces>11386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Глазунова Екатерина Александровна</dc:creator>
  <cp:keywords/>
  <dc:description/>
  <cp:lastModifiedBy>Глазунова Екатерина Александровна</cp:lastModifiedBy>
  <cp:revision>5</cp:revision>
  <cp:lastPrinted>2013-11-12T06:03:00Z</cp:lastPrinted>
  <dcterms:created xsi:type="dcterms:W3CDTF">2013-11-11T13:52:00Z</dcterms:created>
  <dcterms:modified xsi:type="dcterms:W3CDTF">2013-12-04T10:39:00Z</dcterms:modified>
</cp:coreProperties>
</file>